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D2E6F" w14:textId="70C910F1" w:rsidR="00CA7C67" w:rsidRDefault="00CA7C67" w:rsidP="00CA7C67">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002C591B" w:rsidRPr="002C591B">
        <w:rPr>
          <w:rFonts w:ascii="Arial" w:hAnsi="Arial" w:cs="Arial"/>
          <w:b/>
          <w:sz w:val="24"/>
          <w:szCs w:val="28"/>
          <w:lang w:val="en-US"/>
        </w:rPr>
        <w:t>R4-231904</w:t>
      </w:r>
      <w:r w:rsidR="002C591B">
        <w:rPr>
          <w:rFonts w:ascii="Arial" w:hAnsi="Arial" w:cs="Arial"/>
          <w:b/>
          <w:sz w:val="24"/>
          <w:szCs w:val="28"/>
          <w:lang w:val="en-US"/>
        </w:rPr>
        <w:t>6</w:t>
      </w:r>
    </w:p>
    <w:p w14:paraId="2F8B2DBE" w14:textId="77777777" w:rsidR="00CA7C67" w:rsidRPr="001D2FBF" w:rsidRDefault="00CA7C67" w:rsidP="00CA7C67">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79C944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1BB5">
        <w:rPr>
          <w:rFonts w:ascii="Arial" w:hAnsi="Arial" w:cs="Arial"/>
          <w:color w:val="000000"/>
          <w:sz w:val="22"/>
        </w:rPr>
        <w:t>8</w:t>
      </w:r>
      <w:r w:rsidRPr="001A453E">
        <w:rPr>
          <w:rFonts w:ascii="Arial" w:hAnsi="Arial" w:cs="Arial" w:hint="eastAsia"/>
          <w:color w:val="000000"/>
          <w:sz w:val="22"/>
        </w:rPr>
        <w:t>.</w:t>
      </w:r>
      <w:r w:rsidR="00E26B29">
        <w:rPr>
          <w:rFonts w:ascii="Arial" w:hAnsi="Arial" w:cs="Arial"/>
          <w:color w:val="000000"/>
          <w:sz w:val="22"/>
        </w:rPr>
        <w:t>7</w:t>
      </w:r>
      <w:r w:rsidRPr="001A453E">
        <w:rPr>
          <w:rFonts w:ascii="Arial" w:hAnsi="Arial" w:cs="Arial" w:hint="eastAsia"/>
          <w:color w:val="000000"/>
          <w:sz w:val="22"/>
        </w:rPr>
        <w:t>.</w:t>
      </w:r>
      <w:r w:rsidR="004C3DDC">
        <w:rPr>
          <w:rFonts w:ascii="Arial" w:hAnsi="Arial" w:cs="Arial"/>
          <w:color w:val="000000"/>
          <w:sz w:val="22"/>
        </w:rPr>
        <w:t>2</w:t>
      </w:r>
      <w:r w:rsidR="00EC009E" w:rsidRPr="001A453E">
        <w:rPr>
          <w:rFonts w:ascii="Arial" w:hAnsi="Arial" w:cs="Arial"/>
          <w:color w:val="000000"/>
          <w:sz w:val="22"/>
        </w:rPr>
        <w:t>.</w:t>
      </w:r>
      <w:r w:rsidR="009C1BB5">
        <w:rPr>
          <w:rFonts w:ascii="Arial" w:hAnsi="Arial" w:cs="Arial"/>
          <w:color w:val="000000"/>
          <w:sz w:val="22"/>
        </w:rPr>
        <w:t>6</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125ADD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1BB5">
        <w:rPr>
          <w:rFonts w:ascii="Arial" w:hAnsi="Arial" w:cs="Arial"/>
          <w:color w:val="000000"/>
          <w:sz w:val="22"/>
        </w:rPr>
        <w:t>Remaining issues o</w:t>
      </w:r>
      <w:r w:rsidR="004D66D5" w:rsidRPr="004D66D5">
        <w:rPr>
          <w:rFonts w:ascii="Arial" w:hAnsi="Arial" w:cs="Arial"/>
          <w:color w:val="000000"/>
          <w:sz w:val="22"/>
        </w:rPr>
        <w:t xml:space="preserve">n </w:t>
      </w:r>
      <w:bookmarkStart w:id="4" w:name="_Hlk127392006"/>
      <w:r w:rsidR="004D66D5" w:rsidRPr="004D66D5">
        <w:rPr>
          <w:rFonts w:ascii="Arial" w:hAnsi="Arial" w:cs="Arial"/>
          <w:color w:val="000000"/>
          <w:sz w:val="22"/>
        </w:rPr>
        <w:t>R</w:t>
      </w:r>
      <w:r w:rsidR="009C1BB5">
        <w:rPr>
          <w:rFonts w:ascii="Arial" w:hAnsi="Arial" w:cs="Arial"/>
          <w:color w:val="000000"/>
          <w:sz w:val="22"/>
        </w:rPr>
        <w:t>TD</w:t>
      </w:r>
      <w:r w:rsidR="004D66D5" w:rsidRPr="004D66D5">
        <w:rPr>
          <w:rFonts w:ascii="Arial" w:hAnsi="Arial" w:cs="Arial"/>
          <w:color w:val="000000"/>
          <w:sz w:val="22"/>
        </w:rPr>
        <w:t xml:space="preserve">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03984965"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D12E8">
        <w:rPr>
          <w:lang w:val="en-US"/>
        </w:rPr>
        <w:t>8</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w:t>
      </w:r>
    </w:p>
    <w:tbl>
      <w:tblPr>
        <w:tblStyle w:val="afff5"/>
        <w:tblW w:w="0" w:type="auto"/>
        <w:tblInd w:w="0" w:type="dxa"/>
        <w:tblLook w:val="04A0" w:firstRow="1" w:lastRow="0" w:firstColumn="1" w:lastColumn="0" w:noHBand="0" w:noVBand="1"/>
      </w:tblPr>
      <w:tblGrid>
        <w:gridCol w:w="9630"/>
      </w:tblGrid>
      <w:tr w:rsidR="0075131C" w14:paraId="51B32607" w14:textId="77777777" w:rsidTr="0075131C">
        <w:tc>
          <w:tcPr>
            <w:tcW w:w="9630" w:type="dxa"/>
          </w:tcPr>
          <w:p w14:paraId="74C7E5CC" w14:textId="77777777" w:rsidR="00CA096D" w:rsidRPr="00CA096D" w:rsidRDefault="00CA096D" w:rsidP="00CA096D">
            <w:pPr>
              <w:rPr>
                <w:b/>
                <w:sz w:val="18"/>
                <w:szCs w:val="18"/>
                <w:u w:val="single"/>
                <w:lang w:eastAsia="ko-KR"/>
              </w:rPr>
            </w:pPr>
            <w:r w:rsidRPr="00CA096D">
              <w:rPr>
                <w:b/>
                <w:sz w:val="18"/>
                <w:szCs w:val="18"/>
                <w:u w:val="single"/>
                <w:lang w:eastAsia="ko-KR"/>
              </w:rPr>
              <w:t>Issue 3-1-1: Whether L1-RSRP GBBR requirements should be extended to RTD &gt;CP if the UE supports RTD&gt;CP capability</w:t>
            </w:r>
          </w:p>
          <w:p w14:paraId="33C7BBAC" w14:textId="77777777" w:rsidR="00CA096D" w:rsidRPr="00CA096D" w:rsidRDefault="00CA096D" w:rsidP="00CA096D">
            <w:pPr>
              <w:pStyle w:val="a3"/>
              <w:numPr>
                <w:ilvl w:val="0"/>
                <w:numId w:val="25"/>
              </w:numPr>
              <w:ind w:left="720"/>
              <w:rPr>
                <w:sz w:val="18"/>
                <w:szCs w:val="22"/>
                <w:lang w:eastAsia="zh-CN"/>
              </w:rPr>
            </w:pPr>
            <w:r w:rsidRPr="00CA096D">
              <w:rPr>
                <w:sz w:val="18"/>
                <w:szCs w:val="22"/>
                <w:lang w:eastAsia="zh-CN"/>
              </w:rPr>
              <w:t>Way forward: Companies are requested to bring further analysis</w:t>
            </w:r>
          </w:p>
          <w:p w14:paraId="5183A5B5" w14:textId="77777777" w:rsidR="00CA096D" w:rsidRPr="00CA096D" w:rsidRDefault="00CA096D" w:rsidP="00CA096D">
            <w:pPr>
              <w:rPr>
                <w:b/>
                <w:sz w:val="18"/>
                <w:szCs w:val="18"/>
                <w:u w:val="single"/>
                <w:lang w:eastAsia="ko-KR"/>
              </w:rPr>
            </w:pPr>
            <w:r w:rsidRPr="00CA096D">
              <w:rPr>
                <w:b/>
                <w:sz w:val="18"/>
                <w:szCs w:val="18"/>
                <w:u w:val="single"/>
                <w:lang w:eastAsia="ko-KR"/>
              </w:rPr>
              <w:t>Issue 3-1-1: How to capture RTD applicability conditions in multi-RX WI</w:t>
            </w:r>
          </w:p>
          <w:p w14:paraId="4279015F" w14:textId="77777777" w:rsidR="00CA096D" w:rsidRPr="00CA096D" w:rsidRDefault="00CA096D" w:rsidP="00CA096D">
            <w:pPr>
              <w:pStyle w:val="a3"/>
              <w:numPr>
                <w:ilvl w:val="0"/>
                <w:numId w:val="25"/>
              </w:numPr>
              <w:ind w:left="720"/>
              <w:rPr>
                <w:sz w:val="18"/>
                <w:szCs w:val="22"/>
                <w:lang w:eastAsia="zh-CN"/>
              </w:rPr>
            </w:pPr>
            <w:r w:rsidRPr="00CA096D">
              <w:rPr>
                <w:sz w:val="18"/>
                <w:szCs w:val="22"/>
                <w:lang w:eastAsia="zh-CN"/>
              </w:rPr>
              <w:t>Way forward: Further discuss in next meeting.</w:t>
            </w:r>
          </w:p>
          <w:p w14:paraId="37367394" w14:textId="77777777" w:rsidR="00CA096D" w:rsidRPr="00CA096D" w:rsidRDefault="00CA096D" w:rsidP="00CA096D">
            <w:pPr>
              <w:pStyle w:val="a3"/>
              <w:numPr>
                <w:ilvl w:val="1"/>
                <w:numId w:val="25"/>
              </w:numPr>
              <w:overflowPunct w:val="0"/>
              <w:autoSpaceDE w:val="0"/>
              <w:autoSpaceDN w:val="0"/>
              <w:adjustRightInd w:val="0"/>
              <w:ind w:left="1656"/>
              <w:textAlignment w:val="baseline"/>
              <w:rPr>
                <w:sz w:val="18"/>
                <w:szCs w:val="22"/>
                <w:lang w:eastAsia="zh-CN"/>
              </w:rPr>
            </w:pPr>
            <w:r w:rsidRPr="00CA096D">
              <w:rPr>
                <w:sz w:val="18"/>
                <w:szCs w:val="22"/>
                <w:lang w:eastAsia="zh-CN"/>
              </w:rPr>
              <w:t>Option 1: This condition is mentioned for each relevant multi-RX RRM requirement such as scheduling/measurement restriction, dual TCI state switching, L1-RSRP for GBBR.</w:t>
            </w:r>
          </w:p>
          <w:p w14:paraId="5C0F4ABD" w14:textId="2C76028E" w:rsidR="000D0FFB" w:rsidRPr="00CA096D" w:rsidRDefault="00CA096D" w:rsidP="00CA096D">
            <w:pPr>
              <w:pStyle w:val="a3"/>
              <w:numPr>
                <w:ilvl w:val="1"/>
                <w:numId w:val="25"/>
              </w:numPr>
              <w:ind w:left="1656"/>
              <w:rPr>
                <w:szCs w:val="20"/>
                <w:lang w:eastAsia="zh-CN"/>
              </w:rPr>
            </w:pPr>
            <w:r w:rsidRPr="00CA096D">
              <w:rPr>
                <w:sz w:val="18"/>
                <w:szCs w:val="22"/>
                <w:lang w:eastAsia="zh-CN"/>
              </w:rPr>
              <w:t>Option 2: In clause 3.6</w:t>
            </w:r>
            <w:r w:rsidRPr="00CA096D">
              <w:rPr>
                <w:sz w:val="18"/>
                <w:szCs w:val="22"/>
                <w:lang w:eastAsia="zh-CN"/>
              </w:rPr>
              <w:tab/>
              <w:t>“Applicability of requirements in this specification version,” it is stated that RTD &lt; CP as a condition for the relevant requirements to apply</w:t>
            </w:r>
          </w:p>
        </w:tc>
      </w:tr>
    </w:tbl>
    <w:p w14:paraId="083250A8" w14:textId="348BDD74" w:rsid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w:t>
      </w:r>
      <w:r w:rsidR="000D0FFB">
        <w:rPr>
          <w:lang w:val="en-US"/>
        </w:rPr>
        <w:t xml:space="preserve"> remaining open issues for</w:t>
      </w:r>
      <w:r>
        <w:rPr>
          <w:lang w:val="en-US"/>
        </w:rPr>
        <w:t xml:space="preserve"> </w:t>
      </w:r>
      <w:r w:rsidR="00CA096D">
        <w:rPr>
          <w:lang w:val="en-US"/>
        </w:rPr>
        <w:t>RTD</w:t>
      </w:r>
      <w:r w:rsidRPr="00CC765B">
        <w:rPr>
          <w:lang w:val="en-US"/>
        </w:rPr>
        <w:t xml:space="preserve"> requirements</w:t>
      </w:r>
      <w:r>
        <w:rPr>
          <w:lang w:val="en-US"/>
        </w:rPr>
        <w:t xml:space="preserve"> for FR2 multi-Rx chain DL reception</w:t>
      </w:r>
      <w:r w:rsidRPr="00AC65D7">
        <w:rPr>
          <w:lang w:val="en-US"/>
        </w:rPr>
        <w:t>.</w:t>
      </w:r>
    </w:p>
    <w:p w14:paraId="08EDD54E" w14:textId="77777777" w:rsidR="00EA6134" w:rsidRPr="00EA6134" w:rsidRDefault="00EA6134" w:rsidP="00844042">
      <w:pPr>
        <w:spacing w:before="120" w:after="0"/>
        <w:jc w:val="both"/>
        <w:rPr>
          <w:lang w:val="en-US"/>
        </w:rPr>
      </w:pP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4F28D41A" w14:textId="77777777" w:rsidR="0097242D" w:rsidRDefault="0097242D" w:rsidP="00B36726">
      <w:pPr>
        <w:jc w:val="both"/>
        <w:rPr>
          <w:lang w:val="en-US"/>
        </w:rPr>
      </w:pPr>
    </w:p>
    <w:p w14:paraId="13477868" w14:textId="77777777" w:rsidR="007A7809" w:rsidRPr="007A7809" w:rsidRDefault="007A7809" w:rsidP="007A7809">
      <w:pPr>
        <w:rPr>
          <w:b/>
          <w:u w:val="single"/>
          <w:lang w:eastAsia="ko-KR"/>
        </w:rPr>
      </w:pPr>
      <w:r w:rsidRPr="007A7809">
        <w:rPr>
          <w:b/>
          <w:u w:val="single"/>
          <w:lang w:eastAsia="ko-KR"/>
        </w:rPr>
        <w:t>Issue 3-1-1: Whether L1-RSRP GBBR requirements should be extended to RTD &gt;CP if the UE supports RTD&gt;CP capability</w:t>
      </w:r>
    </w:p>
    <w:p w14:paraId="687C32D7" w14:textId="04E0453D" w:rsidR="00CA096D" w:rsidRDefault="008C3AAB" w:rsidP="00B36726">
      <w:pPr>
        <w:jc w:val="both"/>
        <w:rPr>
          <w:lang w:val="en-US"/>
        </w:rPr>
      </w:pPr>
      <w:r>
        <w:rPr>
          <w:lang w:val="en-US"/>
        </w:rPr>
        <w:t>In the RAN4#108 meeting, following agreements on RTD for multi-Rx WI were reached.</w:t>
      </w:r>
    </w:p>
    <w:tbl>
      <w:tblPr>
        <w:tblStyle w:val="afff5"/>
        <w:tblW w:w="0" w:type="auto"/>
        <w:tblInd w:w="0" w:type="dxa"/>
        <w:tblLook w:val="04A0" w:firstRow="1" w:lastRow="0" w:firstColumn="1" w:lastColumn="0" w:noHBand="0" w:noVBand="1"/>
      </w:tblPr>
      <w:tblGrid>
        <w:gridCol w:w="9630"/>
      </w:tblGrid>
      <w:tr w:rsidR="008C3AAB" w:rsidRPr="008C3AAB" w14:paraId="39B00BA9" w14:textId="77777777" w:rsidTr="008C3AAB">
        <w:tc>
          <w:tcPr>
            <w:tcW w:w="9630" w:type="dxa"/>
          </w:tcPr>
          <w:p w14:paraId="31BC33F4" w14:textId="77777777" w:rsidR="008C3AAB" w:rsidRPr="008C3AAB" w:rsidRDefault="008C3AAB" w:rsidP="008C3AAB">
            <w:pPr>
              <w:pStyle w:val="a3"/>
              <w:widowControl w:val="0"/>
              <w:numPr>
                <w:ilvl w:val="0"/>
                <w:numId w:val="29"/>
              </w:numPr>
              <w:rPr>
                <w:rFonts w:ascii="Times New Roman" w:hAnsi="Times New Roman"/>
                <w:sz w:val="18"/>
                <w:szCs w:val="18"/>
                <w:lang w:eastAsia="zh-CN"/>
              </w:rPr>
            </w:pPr>
            <w:r w:rsidRPr="008C3AAB">
              <w:rPr>
                <w:rFonts w:ascii="Times New Roman" w:hAnsi="Times New Roman"/>
                <w:sz w:val="18"/>
                <w:szCs w:val="18"/>
                <w:lang w:eastAsia="zh-CN"/>
              </w:rPr>
              <w:t>Whether to consider RTD larger than CP in multi-RX WI</w:t>
            </w:r>
          </w:p>
          <w:p w14:paraId="1C21DE27" w14:textId="77777777" w:rsidR="008C3AAB" w:rsidRPr="008C3AAB" w:rsidRDefault="008C3AAB" w:rsidP="008C3AAB">
            <w:pPr>
              <w:pStyle w:val="a3"/>
              <w:widowControl w:val="0"/>
              <w:numPr>
                <w:ilvl w:val="1"/>
                <w:numId w:val="29"/>
              </w:numPr>
              <w:rPr>
                <w:rFonts w:ascii="Times New Roman" w:hAnsi="Times New Roman"/>
                <w:sz w:val="18"/>
                <w:szCs w:val="18"/>
                <w:lang w:eastAsia="zh-CN"/>
              </w:rPr>
            </w:pPr>
            <w:r w:rsidRPr="008C3AAB">
              <w:rPr>
                <w:rFonts w:ascii="Times New Roman" w:hAnsi="Times New Roman"/>
                <w:sz w:val="18"/>
                <w:szCs w:val="18"/>
                <w:lang w:eastAsia="zh-CN"/>
              </w:rPr>
              <w:t>The requirements defined for multi-Rx are only applicable for receive timing difference (RTD) less than CP in Rel-18 multi-Rx WI.</w:t>
            </w:r>
          </w:p>
          <w:p w14:paraId="327E7DE2" w14:textId="6E965BDB" w:rsidR="008C3AAB" w:rsidRPr="008C3AAB" w:rsidRDefault="008C3AAB" w:rsidP="008C3AAB">
            <w:pPr>
              <w:pStyle w:val="a3"/>
              <w:widowControl w:val="0"/>
              <w:numPr>
                <w:ilvl w:val="2"/>
                <w:numId w:val="29"/>
              </w:numPr>
              <w:rPr>
                <w:sz w:val="18"/>
                <w:szCs w:val="18"/>
              </w:rPr>
            </w:pPr>
            <w:r w:rsidRPr="008C3AAB">
              <w:rPr>
                <w:rFonts w:ascii="Times New Roman" w:hAnsi="Times New Roman" w:hint="eastAsia"/>
                <w:sz w:val="18"/>
                <w:szCs w:val="18"/>
                <w:lang w:eastAsia="zh-CN"/>
              </w:rPr>
              <w:t>R</w:t>
            </w:r>
            <w:r w:rsidRPr="008C3AAB">
              <w:rPr>
                <w:rFonts w:ascii="Times New Roman" w:hAnsi="Times New Roman"/>
                <w:sz w:val="18"/>
                <w:szCs w:val="18"/>
                <w:lang w:eastAsia="zh-CN"/>
              </w:rPr>
              <w:t>AN4 understands it is important to support RTD&gt;CP and recommend to consider in future release.</w:t>
            </w:r>
          </w:p>
        </w:tc>
      </w:tr>
    </w:tbl>
    <w:p w14:paraId="017DE7B9" w14:textId="2DED109B" w:rsidR="008C3AAB" w:rsidRDefault="007A7809" w:rsidP="007A7809">
      <w:pPr>
        <w:spacing w:before="240"/>
        <w:jc w:val="both"/>
        <w:rPr>
          <w:lang w:val="en-US"/>
        </w:rPr>
      </w:pPr>
      <w:r>
        <w:rPr>
          <w:rFonts w:hint="eastAsia"/>
          <w:lang w:val="en-US"/>
        </w:rPr>
        <w:t>T</w:t>
      </w:r>
      <w:r>
        <w:rPr>
          <w:lang w:val="en-US"/>
        </w:rPr>
        <w:t>hus, the assumption of RTD has already been concluded. There is no need to further discuss. Furthermore, there is no UE capability of supporting RTD&gt;CP</w:t>
      </w:r>
      <w:r w:rsidR="00A553BE">
        <w:rPr>
          <w:lang w:val="en-US"/>
        </w:rPr>
        <w:t xml:space="preserve"> for multi-Rx multi-TRP operation being introduced in this release.</w:t>
      </w:r>
    </w:p>
    <w:p w14:paraId="22BAA61D" w14:textId="47B13D7D" w:rsidR="00A553BE" w:rsidRDefault="00A553BE" w:rsidP="007A7809">
      <w:pPr>
        <w:spacing w:before="240"/>
        <w:jc w:val="both"/>
        <w:rPr>
          <w:lang w:val="en-US"/>
        </w:rPr>
      </w:pPr>
      <w:r>
        <w:rPr>
          <w:lang w:val="en-US"/>
        </w:rPr>
        <w:t xml:space="preserve">The receive timing difference has to be within CP for supporting 4-layer MIMO with joint processing. It would be main use case for Rel-18 WI as the demodulation performance requirements are mainly specified for the two cases. </w:t>
      </w:r>
    </w:p>
    <w:p w14:paraId="1C2C1CD8" w14:textId="280EB5A3" w:rsidR="00A553BE" w:rsidRDefault="00A553BE" w:rsidP="00A553BE">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L1-RSRP measurement requirements are defined under the assumption of RTD &lt;CP.</w:t>
      </w:r>
    </w:p>
    <w:p w14:paraId="55E9598B" w14:textId="77777777" w:rsidR="00A553BE" w:rsidRDefault="00A553BE" w:rsidP="007A7809">
      <w:pPr>
        <w:spacing w:before="240"/>
        <w:jc w:val="both"/>
        <w:rPr>
          <w:lang w:val="en-US"/>
        </w:rPr>
      </w:pPr>
    </w:p>
    <w:p w14:paraId="48EA8EDC" w14:textId="77777777" w:rsidR="00A553BE" w:rsidRPr="00A553BE" w:rsidRDefault="00A553BE" w:rsidP="00A553BE">
      <w:pPr>
        <w:rPr>
          <w:b/>
          <w:u w:val="single"/>
          <w:lang w:eastAsia="ko-KR"/>
        </w:rPr>
      </w:pPr>
      <w:r w:rsidRPr="00A553BE">
        <w:rPr>
          <w:b/>
          <w:u w:val="single"/>
          <w:lang w:eastAsia="ko-KR"/>
        </w:rPr>
        <w:lastRenderedPageBreak/>
        <w:t>Issue 3-1-1: How to capture RTD applicability conditions in multi-RX WI</w:t>
      </w:r>
    </w:p>
    <w:p w14:paraId="589AAE97" w14:textId="5304414F" w:rsidR="00B40962" w:rsidRDefault="00B40962" w:rsidP="00B40962">
      <w:pPr>
        <w:jc w:val="both"/>
        <w:rPr>
          <w:lang w:val="en-US"/>
        </w:rPr>
      </w:pPr>
      <w:r>
        <w:rPr>
          <w:lang w:val="en-US"/>
        </w:rPr>
        <w:t>It is better to have a general applicability description in terms of RTD for multi-Rx. If it is stated in different sections, it will be very difficult for future maintenance.</w:t>
      </w:r>
    </w:p>
    <w:p w14:paraId="216B393D" w14:textId="42211025" w:rsidR="008C3AAB" w:rsidRDefault="008C3AAB" w:rsidP="008C3AAB">
      <w:pPr>
        <w:rPr>
          <w:b/>
          <w:bCs/>
          <w:i/>
          <w:iCs/>
          <w:lang w:val="en-US"/>
        </w:rPr>
      </w:pPr>
      <w:r w:rsidRPr="006138DA">
        <w:rPr>
          <w:b/>
          <w:bCs/>
          <w:i/>
          <w:iCs/>
          <w:lang w:val="en-US"/>
        </w:rPr>
        <w:t xml:space="preserve">Proposal </w:t>
      </w:r>
      <w:r w:rsidR="00B40962">
        <w:rPr>
          <w:b/>
          <w:bCs/>
          <w:i/>
          <w:iCs/>
          <w:lang w:val="en-US"/>
        </w:rPr>
        <w:t>2</w:t>
      </w:r>
      <w:r w:rsidRPr="006138DA">
        <w:rPr>
          <w:b/>
          <w:bCs/>
          <w:i/>
          <w:iCs/>
          <w:lang w:val="en-US"/>
        </w:rPr>
        <w:t>:</w:t>
      </w:r>
      <w:r w:rsidR="00A57E7B">
        <w:rPr>
          <w:b/>
          <w:bCs/>
          <w:i/>
          <w:iCs/>
          <w:lang w:val="en-US"/>
        </w:rPr>
        <w:t xml:space="preserve"> A dedicated clause 3.6.X is used to capture applicability of requirements for multi-Rx</w:t>
      </w:r>
      <w:r>
        <w:rPr>
          <w:b/>
          <w:bCs/>
          <w:i/>
          <w:iCs/>
          <w:lang w:val="en-US"/>
        </w:rPr>
        <w:t>.</w:t>
      </w:r>
    </w:p>
    <w:p w14:paraId="297F9122" w14:textId="77777777" w:rsidR="008C3AAB" w:rsidRPr="00E656CA" w:rsidRDefault="008C3AAB" w:rsidP="008C3AAB">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3E3FF54F"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remaining open issues for</w:t>
      </w:r>
      <w:r w:rsidR="00C54E7E">
        <w:rPr>
          <w:lang w:val="en-US"/>
        </w:rPr>
        <w:t xml:space="preserve"> </w:t>
      </w:r>
      <w:r w:rsidR="000621BA" w:rsidRPr="00CC765B">
        <w:rPr>
          <w:lang w:val="en-US"/>
        </w:rPr>
        <w:t>RLM and BFD/CBD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bookmarkEnd w:id="7"/>
    <w:p w14:paraId="7059FC7D" w14:textId="77777777" w:rsidR="00A57E7B" w:rsidRDefault="00A57E7B" w:rsidP="00A57E7B">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L1-RSRP measurement requirements are defined under the assumption of RTD &lt;CP.</w:t>
      </w:r>
    </w:p>
    <w:p w14:paraId="7B8F800A" w14:textId="77777777" w:rsidR="00A57E7B" w:rsidRDefault="00A57E7B" w:rsidP="00A57E7B">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A dedicated clause 3.6.X is used to capture applicability of requirements for multi-Rx.</w:t>
      </w:r>
    </w:p>
    <w:p w14:paraId="16A3ED11" w14:textId="77777777" w:rsidR="0098473F" w:rsidRPr="00A57E7B"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20058450" w14:textId="7BF9D80C" w:rsidR="00962978" w:rsidRPr="00A57E7B" w:rsidRDefault="0069156E" w:rsidP="00A46BF7">
      <w:pPr>
        <w:pStyle w:val="a3"/>
        <w:numPr>
          <w:ilvl w:val="0"/>
          <w:numId w:val="24"/>
        </w:numPr>
        <w:spacing w:before="240" w:after="0"/>
        <w:rPr>
          <w:szCs w:val="22"/>
        </w:rPr>
      </w:pPr>
      <w:r w:rsidRPr="00A57E7B">
        <w:rPr>
          <w:rFonts w:eastAsia="MS Mincho"/>
          <w:bCs/>
          <w:kern w:val="2"/>
          <w:szCs w:val="18"/>
          <w:lang w:val="en-GB"/>
        </w:rPr>
        <w:t>R4-2317427</w:t>
      </w:r>
      <w:r w:rsidRPr="00A57E7B">
        <w:rPr>
          <w:rFonts w:eastAsia="MS Mincho"/>
          <w:bCs/>
          <w:kern w:val="2"/>
          <w:szCs w:val="18"/>
          <w:lang w:val="en-GB"/>
        </w:rPr>
        <w:tab/>
        <w:t xml:space="preserve">WF on FR2_multiRx_part2, </w:t>
      </w:r>
      <w:r w:rsidRPr="00A57E7B">
        <w:rPr>
          <w:szCs w:val="22"/>
        </w:rPr>
        <w:t>Ericsson</w:t>
      </w:r>
    </w:p>
    <w:sectPr w:rsidR="00962978" w:rsidRPr="00A57E7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17F28" w14:textId="77777777" w:rsidR="00787B0F" w:rsidRDefault="00787B0F">
      <w:pPr>
        <w:spacing w:after="0"/>
      </w:pPr>
      <w:r>
        <w:separator/>
      </w:r>
    </w:p>
  </w:endnote>
  <w:endnote w:type="continuationSeparator" w:id="0">
    <w:p w14:paraId="7865E2E3" w14:textId="77777777" w:rsidR="00787B0F" w:rsidRDefault="00787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DF60" w14:textId="77777777" w:rsidR="00787B0F" w:rsidRDefault="00787B0F">
      <w:pPr>
        <w:spacing w:after="0"/>
      </w:pPr>
      <w:r>
        <w:separator/>
      </w:r>
    </w:p>
  </w:footnote>
  <w:footnote w:type="continuationSeparator" w:id="0">
    <w:p w14:paraId="75EAC1BD" w14:textId="77777777" w:rsidR="00787B0F" w:rsidRDefault="00787B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9"/>
  </w:num>
  <w:num w:numId="24" w16cid:durableId="1354380123">
    <w:abstractNumId w:val="21"/>
  </w:num>
  <w:num w:numId="25" w16cid:durableId="1500464458">
    <w:abstractNumId w:val="24"/>
  </w:num>
  <w:num w:numId="26" w16cid:durableId="1759907304">
    <w:abstractNumId w:val="27"/>
  </w:num>
  <w:num w:numId="27" w16cid:durableId="1791432919">
    <w:abstractNumId w:val="22"/>
  </w:num>
  <w:num w:numId="28" w16cid:durableId="899514078">
    <w:abstractNumId w:val="22"/>
  </w:num>
  <w:num w:numId="29" w16cid:durableId="946887779">
    <w:abstractNumId w:val="28"/>
  </w:num>
  <w:num w:numId="30" w16cid:durableId="98671001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E02"/>
    <w:rsid w:val="000A2C1E"/>
    <w:rsid w:val="000A4C8D"/>
    <w:rsid w:val="000A5BA2"/>
    <w:rsid w:val="000A779F"/>
    <w:rsid w:val="000B099C"/>
    <w:rsid w:val="000B26A4"/>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6"/>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3A2"/>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591B"/>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4C77"/>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71C3"/>
    <w:rsid w:val="00737770"/>
    <w:rsid w:val="00740C2D"/>
    <w:rsid w:val="00741102"/>
    <w:rsid w:val="00742FB1"/>
    <w:rsid w:val="007430EC"/>
    <w:rsid w:val="00745A6C"/>
    <w:rsid w:val="00746ABE"/>
    <w:rsid w:val="007474E9"/>
    <w:rsid w:val="00747B74"/>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87B0F"/>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A7809"/>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3FEA"/>
    <w:rsid w:val="00A546D4"/>
    <w:rsid w:val="00A5474E"/>
    <w:rsid w:val="00A54A41"/>
    <w:rsid w:val="00A54FB7"/>
    <w:rsid w:val="00A552AD"/>
    <w:rsid w:val="00A553BE"/>
    <w:rsid w:val="00A57935"/>
    <w:rsid w:val="00A57C47"/>
    <w:rsid w:val="00A57E7B"/>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20CB"/>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962"/>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134"/>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4C"/>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57E7B"/>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2114</TotalTime>
  <Pages>2</Pages>
  <Words>449</Words>
  <Characters>2562</Characters>
  <Application>Microsoft Office Word</Application>
  <DocSecurity>0</DocSecurity>
  <Lines>21</Lines>
  <Paragraphs>6</Paragraphs>
  <ScaleCrop>false</ScaleCrop>
  <Company>Tom</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107</cp:revision>
  <cp:lastPrinted>1995-11-21T09:41:00Z</cp:lastPrinted>
  <dcterms:created xsi:type="dcterms:W3CDTF">2023-02-13T00:57:00Z</dcterms:created>
  <dcterms:modified xsi:type="dcterms:W3CDTF">2023-11-03T15:39:00Z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